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A4190" w14:textId="04857AE8" w:rsidR="00032FFD" w:rsidRPr="00C63712" w:rsidRDefault="00BD3A55" w:rsidP="00B45498">
      <w:pPr>
        <w:spacing w:before="100" w:beforeAutospacing="1" w:after="100" w:afterAutospacing="1"/>
        <w:ind w:left="720" w:hanging="360"/>
        <w:rPr>
          <w:rFonts w:cstheme="minorHAnsi"/>
          <w:b/>
          <w:color w:val="000000" w:themeColor="text1"/>
        </w:rPr>
      </w:pPr>
      <w:r w:rsidRPr="00C63712">
        <w:rPr>
          <w:b/>
        </w:rPr>
        <w:t xml:space="preserve">HDFC </w:t>
      </w:r>
      <w:r w:rsidR="00032FFD" w:rsidRPr="00C63712">
        <w:rPr>
          <w:b/>
        </w:rPr>
        <w:t>Bank EasyEMI Terms and Conditions</w:t>
      </w:r>
      <w:r w:rsidR="00032FFD" w:rsidRPr="00C63712">
        <w:rPr>
          <w:rFonts w:cstheme="minorHAnsi"/>
          <w:b/>
          <w:color w:val="000000" w:themeColor="text1"/>
        </w:rPr>
        <w:t xml:space="preserve"> – </w:t>
      </w:r>
    </w:p>
    <w:p w14:paraId="5181653D" w14:textId="77777777" w:rsidR="00A10D51" w:rsidRDefault="00032FFD" w:rsidP="0040202B">
      <w:pPr>
        <w:numPr>
          <w:ilvl w:val="0"/>
          <w:numId w:val="6"/>
        </w:numPr>
        <w:spacing w:before="100" w:beforeAutospacing="1" w:after="100" w:afterAutospacing="1"/>
        <w:rPr>
          <w:rFonts w:eastAsia="Times New Roman" w:cstheme="minorHAnsi"/>
          <w:color w:val="000000" w:themeColor="text1"/>
          <w:sz w:val="20"/>
          <w:szCs w:val="20"/>
          <w:lang w:eastAsia="en-IN"/>
        </w:rPr>
      </w:pPr>
      <w:r w:rsidRPr="00A10D51">
        <w:rPr>
          <w:rFonts w:eastAsia="Times New Roman" w:cstheme="minorHAnsi"/>
          <w:color w:val="000000" w:themeColor="text1"/>
          <w:sz w:val="20"/>
          <w:szCs w:val="20"/>
          <w:lang w:eastAsia="en-IN"/>
        </w:rPr>
        <w:t>Processing fees of INR 299 + GST</w:t>
      </w:r>
    </w:p>
    <w:p w14:paraId="32531C7A" w14:textId="6F2AA178" w:rsidR="00A53B65" w:rsidRPr="00A10D51" w:rsidRDefault="00BD3A55" w:rsidP="0040202B">
      <w:pPr>
        <w:numPr>
          <w:ilvl w:val="0"/>
          <w:numId w:val="6"/>
        </w:numPr>
        <w:spacing w:before="100" w:beforeAutospacing="1" w:after="100" w:afterAutospacing="1"/>
        <w:rPr>
          <w:rFonts w:eastAsia="Times New Roman" w:cstheme="minorHAnsi"/>
          <w:color w:val="000000" w:themeColor="text1"/>
          <w:sz w:val="20"/>
          <w:szCs w:val="20"/>
          <w:lang w:eastAsia="en-IN"/>
        </w:rPr>
      </w:pPr>
      <w:r w:rsidRPr="00A10D51">
        <w:rPr>
          <w:rFonts w:eastAsia="Times New Roman" w:cstheme="minorHAnsi"/>
          <w:color w:val="000000" w:themeColor="text1"/>
          <w:sz w:val="20"/>
          <w:szCs w:val="20"/>
          <w:lang w:eastAsia="en-IN"/>
        </w:rPr>
        <w:t>In the Case of No Cost EMI benefit offered by Merchants, the interest that will be charged by the Bank for the EMI transaction will be provided as upfront discount at the time of transaction or during the loan booking as applicable by the transaction mode.</w:t>
      </w:r>
    </w:p>
    <w:p w14:paraId="07B503D4" w14:textId="492AB5EA" w:rsidR="00BD3A55" w:rsidRDefault="00BD3A55" w:rsidP="00032FFD">
      <w:pPr>
        <w:numPr>
          <w:ilvl w:val="0"/>
          <w:numId w:val="6"/>
        </w:numPr>
        <w:spacing w:before="100" w:beforeAutospacing="1" w:after="100" w:afterAutospacing="1"/>
        <w:rPr>
          <w:rFonts w:eastAsia="Times New Roman" w:cstheme="minorHAnsi"/>
          <w:color w:val="000000" w:themeColor="text1"/>
          <w:sz w:val="20"/>
          <w:szCs w:val="20"/>
          <w:lang w:eastAsia="en-IN"/>
        </w:rPr>
      </w:pPr>
      <w:r>
        <w:rPr>
          <w:rFonts w:eastAsia="Times New Roman" w:cstheme="minorHAnsi"/>
          <w:color w:val="000000" w:themeColor="text1"/>
          <w:sz w:val="20"/>
          <w:szCs w:val="20"/>
          <w:lang w:eastAsia="en-IN"/>
        </w:rPr>
        <w:t xml:space="preserve">Bank will continue to charge interest during the tenure opted by the customer at the annual interest rate by reducing balance method. In Monthly reducing balance cycle, the </w:t>
      </w:r>
      <w:r w:rsidR="00A10D51">
        <w:rPr>
          <w:rFonts w:eastAsia="Times New Roman" w:cstheme="minorHAnsi"/>
          <w:color w:val="000000" w:themeColor="text1"/>
          <w:sz w:val="20"/>
          <w:szCs w:val="20"/>
          <w:lang w:eastAsia="en-IN"/>
        </w:rPr>
        <w:t>principal</w:t>
      </w:r>
      <w:r>
        <w:rPr>
          <w:rFonts w:eastAsia="Times New Roman" w:cstheme="minorHAnsi"/>
          <w:color w:val="000000" w:themeColor="text1"/>
          <w:sz w:val="20"/>
          <w:szCs w:val="20"/>
          <w:lang w:eastAsia="en-IN"/>
        </w:rPr>
        <w:t xml:space="preserve"> loan amount is reduced for every EMI paid and interest is calculated in the balance of outstanding </w:t>
      </w:r>
      <w:r w:rsidR="00A10D51">
        <w:rPr>
          <w:rFonts w:eastAsia="Times New Roman" w:cstheme="minorHAnsi"/>
          <w:color w:val="000000" w:themeColor="text1"/>
          <w:sz w:val="20"/>
          <w:szCs w:val="20"/>
          <w:lang w:eastAsia="en-IN"/>
        </w:rPr>
        <w:t>principal</w:t>
      </w:r>
      <w:r>
        <w:rPr>
          <w:rFonts w:eastAsia="Times New Roman" w:cstheme="minorHAnsi"/>
          <w:color w:val="000000" w:themeColor="text1"/>
          <w:sz w:val="20"/>
          <w:szCs w:val="20"/>
          <w:lang w:eastAsia="en-IN"/>
        </w:rPr>
        <w:t xml:space="preserve"> loan amount to be paid.</w:t>
      </w:r>
    </w:p>
    <w:p w14:paraId="7820079B" w14:textId="7FD0AF67" w:rsidR="00A53B65" w:rsidRDefault="00A53B65" w:rsidP="00032FFD">
      <w:pPr>
        <w:numPr>
          <w:ilvl w:val="0"/>
          <w:numId w:val="6"/>
        </w:numPr>
        <w:spacing w:before="100" w:beforeAutospacing="1" w:after="100" w:afterAutospacing="1"/>
        <w:rPr>
          <w:rFonts w:eastAsia="Times New Roman" w:cstheme="minorHAnsi"/>
          <w:color w:val="000000" w:themeColor="text1"/>
          <w:sz w:val="20"/>
          <w:szCs w:val="20"/>
          <w:lang w:eastAsia="en-IN"/>
        </w:rPr>
      </w:pPr>
      <w:r w:rsidRPr="00A53B65">
        <w:rPr>
          <w:rFonts w:eastAsia="Times New Roman" w:cstheme="minorHAnsi"/>
          <w:color w:val="000000" w:themeColor="text1"/>
          <w:sz w:val="20"/>
          <w:szCs w:val="20"/>
          <w:lang w:eastAsia="en-IN"/>
        </w:rPr>
        <w:t>The interest amount on the first EMI will be calculated from the Loan Booking Date till Payment Due Date as per Bank's Policy</w:t>
      </w:r>
    </w:p>
    <w:p w14:paraId="770E67E7" w14:textId="50D9A3BA" w:rsidR="00032FFD" w:rsidRPr="00032FFD" w:rsidRDefault="00032FFD" w:rsidP="00032FFD">
      <w:pPr>
        <w:numPr>
          <w:ilvl w:val="0"/>
          <w:numId w:val="6"/>
        </w:numPr>
        <w:spacing w:before="100" w:beforeAutospacing="1" w:after="100" w:afterAutospacing="1"/>
        <w:rPr>
          <w:rFonts w:eastAsia="Times New Roman" w:cstheme="minorHAnsi"/>
          <w:color w:val="000000" w:themeColor="text1"/>
          <w:sz w:val="20"/>
          <w:szCs w:val="20"/>
          <w:lang w:eastAsia="en-IN"/>
        </w:rPr>
      </w:pPr>
      <w:r w:rsidRPr="00032FFD">
        <w:rPr>
          <w:rFonts w:eastAsia="Times New Roman" w:cstheme="minorHAnsi"/>
          <w:color w:val="000000" w:themeColor="text1"/>
          <w:sz w:val="20"/>
          <w:szCs w:val="20"/>
          <w:lang w:eastAsia="en-IN"/>
        </w:rPr>
        <w:t>In the event of customer preclosing/ cancelling EMI on an originally Credit Card EMI or Debit Card EMI transaction, 'Pre-closure Interest charges' + 3% Pre-closure Fee on principle Outstanding (as applicable) will apply at the time of all Pre-closures.</w:t>
      </w:r>
    </w:p>
    <w:p w14:paraId="3E69377D" w14:textId="0857B4D8" w:rsidR="00032FFD" w:rsidRDefault="00032FFD" w:rsidP="00032FFD">
      <w:pPr>
        <w:numPr>
          <w:ilvl w:val="0"/>
          <w:numId w:val="6"/>
        </w:numPr>
        <w:spacing w:before="100" w:beforeAutospacing="1" w:after="100" w:afterAutospacing="1"/>
        <w:rPr>
          <w:rFonts w:eastAsia="Times New Roman" w:cstheme="minorHAnsi"/>
          <w:color w:val="000000" w:themeColor="text1"/>
          <w:sz w:val="20"/>
          <w:szCs w:val="20"/>
          <w:lang w:eastAsia="en-IN"/>
        </w:rPr>
      </w:pPr>
      <w:r w:rsidRPr="00032FFD">
        <w:rPr>
          <w:rFonts w:eastAsia="Times New Roman" w:cstheme="minorHAnsi"/>
          <w:color w:val="000000" w:themeColor="text1"/>
          <w:sz w:val="20"/>
          <w:szCs w:val="20"/>
          <w:lang w:eastAsia="en-IN"/>
        </w:rPr>
        <w:t>Benefits like payback / Instant discount etc offered by the merchant at the time of loan booking will be debited within 120 days of EMI closure. Cashback will be posted only those transaction for which loans are active as on posting date.</w:t>
      </w:r>
    </w:p>
    <w:p w14:paraId="7E0B7FAE" w14:textId="5CC72212" w:rsidR="00A53B65" w:rsidRPr="00A53B65" w:rsidRDefault="00A53B65" w:rsidP="00A53B65">
      <w:pPr>
        <w:numPr>
          <w:ilvl w:val="0"/>
          <w:numId w:val="6"/>
        </w:numPr>
        <w:spacing w:before="100" w:beforeAutospacing="1" w:after="100" w:afterAutospacing="1"/>
        <w:rPr>
          <w:rFonts w:eastAsia="Times New Roman" w:cstheme="minorHAnsi"/>
          <w:color w:val="000000" w:themeColor="text1"/>
          <w:sz w:val="20"/>
          <w:szCs w:val="20"/>
          <w:lang w:eastAsia="en-IN"/>
        </w:rPr>
      </w:pPr>
      <w:r w:rsidRPr="00032FFD">
        <w:rPr>
          <w:rFonts w:eastAsia="Times New Roman" w:cstheme="minorHAnsi"/>
          <w:color w:val="000000" w:themeColor="text1"/>
          <w:sz w:val="20"/>
          <w:szCs w:val="20"/>
          <w:lang w:eastAsia="en-IN"/>
        </w:rPr>
        <w:t>GST will be levied on Processing Fee, Gap interest and Pre-closure fee as applicable</w:t>
      </w:r>
    </w:p>
    <w:p w14:paraId="348364C5" w14:textId="6AF4E2EA" w:rsidR="00032FFD" w:rsidRPr="00C63712" w:rsidRDefault="00032FFD" w:rsidP="00032FFD">
      <w:pPr>
        <w:numPr>
          <w:ilvl w:val="0"/>
          <w:numId w:val="6"/>
        </w:numPr>
        <w:spacing w:beforeAutospacing="1" w:afterAutospacing="1"/>
        <w:rPr>
          <w:rFonts w:eastAsia="Times New Roman"/>
          <w:sz w:val="20"/>
          <w:szCs w:val="20"/>
          <w:lang w:eastAsia="en-IN"/>
        </w:rPr>
      </w:pPr>
      <w:r w:rsidRPr="7B5397AD">
        <w:rPr>
          <w:rFonts w:eastAsia="Times New Roman"/>
          <w:sz w:val="20"/>
          <w:szCs w:val="20"/>
          <w:lang w:eastAsia="en-IN"/>
        </w:rPr>
        <w:t xml:space="preserve">Refer the link given below for detailed terms and conditions of EMI transactions. </w:t>
      </w:r>
      <w:hyperlink r:id="rId8" w:history="1">
        <w:r w:rsidR="00BD3A55" w:rsidRPr="000F56E2">
          <w:rPr>
            <w:rStyle w:val="Hyperlink"/>
            <w:rFonts w:eastAsia="Times New Roman"/>
            <w:sz w:val="20"/>
            <w:szCs w:val="20"/>
            <w:lang w:eastAsia="en-IN"/>
          </w:rPr>
          <w:t>https://www.</w:t>
        </w:r>
        <w:r w:rsidR="00BD3A55" w:rsidRPr="000F56E2">
          <w:rPr>
            <w:rStyle w:val="Hyperlink"/>
            <w:sz w:val="20"/>
            <w:szCs w:val="20"/>
          </w:rPr>
          <w:t>hdfcbank.com/personal/borrow/popular-loans/easy-emi/easyemi-on-consumer-durables</w:t>
        </w:r>
      </w:hyperlink>
      <w:r w:rsidR="00BD3A55">
        <w:rPr>
          <w:sz w:val="20"/>
          <w:szCs w:val="20"/>
        </w:rPr>
        <w:t xml:space="preserve"> </w:t>
      </w:r>
    </w:p>
    <w:p w14:paraId="4FB22092" w14:textId="5103DFE5" w:rsidR="00C63712" w:rsidRPr="008D21E8" w:rsidRDefault="00C63712" w:rsidP="008D21E8">
      <w:pPr>
        <w:pStyle w:val="ListParagraph"/>
        <w:numPr>
          <w:ilvl w:val="0"/>
          <w:numId w:val="6"/>
        </w:numPr>
        <w:contextualSpacing/>
        <w:jc w:val="both"/>
        <w:rPr>
          <w:rFonts w:cstheme="minorBidi"/>
          <w:sz w:val="20"/>
          <w:szCs w:val="20"/>
          <w:highlight w:val="yellow"/>
        </w:rPr>
      </w:pPr>
      <w:r w:rsidRPr="7B5397AD">
        <w:rPr>
          <w:rFonts w:cstheme="minorBidi"/>
          <w:sz w:val="20"/>
          <w:szCs w:val="20"/>
          <w:highlight w:val="yellow"/>
        </w:rPr>
        <w:t xml:space="preserve">This offer is not applicable on virtual cards, Consumer Durable, VPA, Fleet, R&amp;R Commercial, Purchase cards, </w:t>
      </w:r>
      <w:proofErr w:type="spellStart"/>
      <w:r w:rsidRPr="7B5397AD">
        <w:rPr>
          <w:rFonts w:cstheme="minorBidi"/>
          <w:sz w:val="20"/>
          <w:szCs w:val="20"/>
          <w:highlight w:val="yellow"/>
        </w:rPr>
        <w:t>Intermiles</w:t>
      </w:r>
      <w:proofErr w:type="spellEnd"/>
      <w:r w:rsidRPr="7B5397AD">
        <w:rPr>
          <w:rFonts w:cstheme="minorBidi"/>
          <w:sz w:val="20"/>
          <w:szCs w:val="20"/>
          <w:highlight w:val="yellow"/>
        </w:rPr>
        <w:t xml:space="preserve">, Paytm, Equitas, Swiggy, Flipkart Wholesale, Pine Labs, Emirates, Harley, IBIBO, IRCTC, Times, Tata Neu, Shoppers, </w:t>
      </w:r>
      <w:proofErr w:type="spellStart"/>
      <w:r w:rsidRPr="7B5397AD">
        <w:rPr>
          <w:rFonts w:cstheme="minorBidi"/>
          <w:sz w:val="20"/>
          <w:szCs w:val="20"/>
          <w:highlight w:val="yellow"/>
        </w:rPr>
        <w:t>Bestprice</w:t>
      </w:r>
      <w:proofErr w:type="spellEnd"/>
      <w:r w:rsidRPr="7B5397AD">
        <w:rPr>
          <w:rFonts w:cstheme="minorBidi"/>
          <w:sz w:val="20"/>
          <w:szCs w:val="20"/>
          <w:highlight w:val="yellow"/>
        </w:rPr>
        <w:t xml:space="preserve">, 6E Rewards, </w:t>
      </w:r>
      <w:proofErr w:type="spellStart"/>
      <w:r w:rsidRPr="7B5397AD">
        <w:rPr>
          <w:rFonts w:cstheme="minorBidi"/>
          <w:sz w:val="20"/>
          <w:szCs w:val="20"/>
          <w:highlight w:val="yellow"/>
        </w:rPr>
        <w:t>PhonePay</w:t>
      </w:r>
      <w:proofErr w:type="spellEnd"/>
      <w:r w:rsidRPr="7B5397AD">
        <w:rPr>
          <w:rFonts w:cstheme="minorBidi"/>
          <w:sz w:val="20"/>
          <w:szCs w:val="20"/>
          <w:highlight w:val="yellow"/>
        </w:rPr>
        <w:t>, Snapdeal Cards</w:t>
      </w:r>
      <w:r>
        <w:rPr>
          <w:rFonts w:cstheme="minorBidi"/>
          <w:sz w:val="20"/>
          <w:szCs w:val="20"/>
          <w:highlight w:val="yellow"/>
        </w:rPr>
        <w:t xml:space="preserve"> for regular full swipe transactions</w:t>
      </w:r>
    </w:p>
    <w:p w14:paraId="6865A70A" w14:textId="77777777" w:rsidR="00032FFD" w:rsidRDefault="00032FFD" w:rsidP="00B45498">
      <w:pPr>
        <w:spacing w:before="100" w:beforeAutospacing="1" w:after="100" w:afterAutospacing="1"/>
        <w:ind w:left="720" w:hanging="360"/>
      </w:pPr>
    </w:p>
    <w:p w14:paraId="4415E357" w14:textId="72CF18E0" w:rsidR="00E5049D" w:rsidRPr="00C63712" w:rsidRDefault="00E5049D" w:rsidP="00B45498">
      <w:pPr>
        <w:spacing w:before="100" w:beforeAutospacing="1" w:after="100" w:afterAutospacing="1"/>
        <w:ind w:left="720" w:hanging="360"/>
        <w:rPr>
          <w:b/>
        </w:rPr>
      </w:pPr>
      <w:r w:rsidRPr="00C63712">
        <w:rPr>
          <w:b/>
        </w:rPr>
        <w:t xml:space="preserve">General Bank Terms and Conditions </w:t>
      </w:r>
      <w:r w:rsidR="00032FFD" w:rsidRPr="00C63712">
        <w:rPr>
          <w:b/>
        </w:rPr>
        <w:t xml:space="preserve">for Cards - </w:t>
      </w:r>
    </w:p>
    <w:p w14:paraId="1C26CAD1" w14:textId="06B9D44B" w:rsidR="00B45498" w:rsidRDefault="00B45498" w:rsidP="00B45498">
      <w:pPr>
        <w:numPr>
          <w:ilvl w:val="0"/>
          <w:numId w:val="6"/>
        </w:numPr>
        <w:spacing w:before="100" w:beforeAutospacing="1" w:after="100" w:afterAutospacing="1"/>
        <w:rPr>
          <w:rFonts w:eastAsia="Times New Roman" w:cs="Times New Roman"/>
          <w:color w:val="333333"/>
          <w:sz w:val="20"/>
          <w:szCs w:val="20"/>
          <w:highlight w:val="yellow"/>
          <w:lang w:eastAsia="en-IN"/>
        </w:rPr>
      </w:pPr>
      <w:r w:rsidRPr="7B5397AD">
        <w:rPr>
          <w:rFonts w:eastAsia="Times New Roman" w:cs="Times New Roman"/>
          <w:color w:val="333333"/>
          <w:sz w:val="20"/>
          <w:szCs w:val="20"/>
          <w:highlight w:val="yellow"/>
          <w:lang w:eastAsia="en-IN"/>
        </w:rPr>
        <w:t>The offer is an instant discount and will be provided upfront at the time of purchase.</w:t>
      </w:r>
    </w:p>
    <w:p w14:paraId="173F7544" w14:textId="77777777" w:rsidR="00B45498" w:rsidRDefault="00B45498" w:rsidP="00B45498">
      <w:pPr>
        <w:numPr>
          <w:ilvl w:val="0"/>
          <w:numId w:val="6"/>
        </w:numPr>
        <w:spacing w:before="100" w:beforeAutospacing="1" w:after="100" w:afterAutospacing="1"/>
        <w:rPr>
          <w:rFonts w:ascii="Calibri" w:eastAsia="Times New Roman" w:hAnsi="Calibri" w:cstheme="minorHAnsi"/>
          <w:sz w:val="20"/>
          <w:szCs w:val="20"/>
          <w:lang w:eastAsia="en-IN"/>
        </w:rPr>
      </w:pPr>
      <w:r>
        <w:rPr>
          <w:rFonts w:eastAsia="Times New Roman" w:cstheme="minorHAnsi"/>
          <w:sz w:val="20"/>
          <w:szCs w:val="20"/>
          <w:lang w:eastAsia="en-IN"/>
        </w:rPr>
        <w:t>HDFC Bank holds out no warranty or makes no representation about the quality, delivery or otherwise of the services offered by the partner. Any dispute or claim regarding the services/offers must be resolved by the Card Holder/s with the partner directly without any reference to HDFC Bank.</w:t>
      </w:r>
    </w:p>
    <w:p w14:paraId="78827429" w14:textId="77777777" w:rsidR="00B45498" w:rsidRDefault="00B45498" w:rsidP="00B45498">
      <w:pPr>
        <w:numPr>
          <w:ilvl w:val="0"/>
          <w:numId w:val="6"/>
        </w:numPr>
        <w:spacing w:before="100" w:beforeAutospacing="1" w:after="100" w:afterAutospacing="1"/>
        <w:rPr>
          <w:rFonts w:eastAsia="Times New Roman" w:cstheme="minorHAnsi"/>
          <w:sz w:val="20"/>
          <w:szCs w:val="20"/>
          <w:lang w:eastAsia="en-IN"/>
        </w:rPr>
      </w:pPr>
      <w:r>
        <w:rPr>
          <w:rFonts w:eastAsia="Times New Roman" w:cstheme="minorHAnsi"/>
          <w:sz w:val="20"/>
          <w:szCs w:val="20"/>
          <w:lang w:eastAsia="en-IN"/>
        </w:rPr>
        <w:t>HDFC Bank shall not be liable in any manner whatsoever for any loss/ damage/ claim that may arise out of use or otherwise of any goods/ services / assured gifts / gift vouchers availed by the Card Holder/s under the said Offer offered by the partner</w:t>
      </w:r>
    </w:p>
    <w:p w14:paraId="3FAF4D85" w14:textId="77777777" w:rsidR="00B45498" w:rsidRDefault="00B45498" w:rsidP="00B45498">
      <w:pPr>
        <w:numPr>
          <w:ilvl w:val="0"/>
          <w:numId w:val="6"/>
        </w:numPr>
        <w:spacing w:before="100" w:beforeAutospacing="1" w:after="100" w:afterAutospacing="1"/>
        <w:rPr>
          <w:rFonts w:eastAsia="Times New Roman" w:cstheme="minorHAnsi"/>
          <w:sz w:val="20"/>
          <w:szCs w:val="20"/>
          <w:lang w:eastAsia="en-IN"/>
        </w:rPr>
      </w:pPr>
      <w:r>
        <w:rPr>
          <w:rFonts w:eastAsia="Times New Roman" w:cstheme="minorHAnsi"/>
          <w:sz w:val="20"/>
          <w:szCs w:val="20"/>
          <w:lang w:eastAsia="en-IN"/>
        </w:rPr>
        <w:t>HDFC Bank shall not be held liable for any delay or loss that may be caused in delivery of the services.</w:t>
      </w:r>
    </w:p>
    <w:p w14:paraId="433DAE46" w14:textId="77777777" w:rsidR="00B45498" w:rsidRDefault="00B45498" w:rsidP="00B45498">
      <w:pPr>
        <w:numPr>
          <w:ilvl w:val="0"/>
          <w:numId w:val="6"/>
        </w:numPr>
        <w:spacing w:before="100" w:beforeAutospacing="1" w:after="100" w:afterAutospacing="1"/>
        <w:rPr>
          <w:rFonts w:eastAsia="Times New Roman" w:cstheme="minorHAnsi"/>
          <w:sz w:val="20"/>
          <w:szCs w:val="20"/>
          <w:lang w:eastAsia="en-IN"/>
        </w:rPr>
      </w:pPr>
      <w:r>
        <w:rPr>
          <w:rFonts w:eastAsia="Times New Roman" w:cstheme="minorHAnsi"/>
          <w:sz w:val="20"/>
          <w:szCs w:val="20"/>
          <w:lang w:eastAsia="en-IN"/>
        </w:rPr>
        <w:t>This Offer is made available to the Customers selected at the discretion of HDFC Bank.</w:t>
      </w:r>
    </w:p>
    <w:p w14:paraId="30538DCB" w14:textId="77777777" w:rsidR="00B45498" w:rsidRDefault="00B45498" w:rsidP="00B45498">
      <w:pPr>
        <w:numPr>
          <w:ilvl w:val="0"/>
          <w:numId w:val="6"/>
        </w:numPr>
        <w:spacing w:before="100" w:beforeAutospacing="1" w:after="100" w:afterAutospacing="1"/>
        <w:rPr>
          <w:rFonts w:eastAsia="Times New Roman" w:cstheme="minorHAnsi"/>
          <w:sz w:val="20"/>
          <w:szCs w:val="20"/>
          <w:lang w:eastAsia="en-IN"/>
        </w:rPr>
      </w:pPr>
      <w:r>
        <w:rPr>
          <w:rFonts w:eastAsia="Times New Roman" w:cstheme="minorHAnsi"/>
          <w:sz w:val="20"/>
          <w:szCs w:val="20"/>
          <w:lang w:eastAsia="en-IN"/>
        </w:rPr>
        <w:t>The offer cannot be combined with any other offer</w:t>
      </w:r>
    </w:p>
    <w:p w14:paraId="107380D6" w14:textId="77777777" w:rsidR="00B45498" w:rsidRDefault="00B45498" w:rsidP="00B45498">
      <w:pPr>
        <w:numPr>
          <w:ilvl w:val="0"/>
          <w:numId w:val="6"/>
        </w:numPr>
        <w:spacing w:before="100" w:beforeAutospacing="1" w:after="100" w:afterAutospacing="1"/>
        <w:rPr>
          <w:rFonts w:eastAsia="Times New Roman" w:cstheme="minorHAnsi"/>
          <w:sz w:val="20"/>
          <w:szCs w:val="20"/>
          <w:lang w:eastAsia="en-IN"/>
        </w:rPr>
      </w:pPr>
      <w:r>
        <w:rPr>
          <w:rFonts w:eastAsia="Times New Roman" w:cstheme="minorHAnsi"/>
          <w:sz w:val="20"/>
          <w:szCs w:val="20"/>
          <w:lang w:eastAsia="en-IN"/>
        </w:rPr>
        <w:t>If promo code is mentioned as part of the communication (please refer Offer details tab) then customer has to use the code to avail the offer; in case the code is not used Discount/ Cashback cannot be credited back to customer at a later date.</w:t>
      </w:r>
    </w:p>
    <w:p w14:paraId="3A224E49" w14:textId="77777777" w:rsidR="00B45498" w:rsidRDefault="00B45498" w:rsidP="00B45498">
      <w:pPr>
        <w:numPr>
          <w:ilvl w:val="0"/>
          <w:numId w:val="6"/>
        </w:numPr>
        <w:spacing w:before="100" w:beforeAutospacing="1" w:after="100" w:afterAutospacing="1"/>
        <w:rPr>
          <w:rFonts w:eastAsia="Times New Roman" w:cstheme="minorHAnsi"/>
          <w:sz w:val="20"/>
          <w:szCs w:val="20"/>
          <w:lang w:eastAsia="en-IN"/>
        </w:rPr>
      </w:pPr>
      <w:r>
        <w:rPr>
          <w:rFonts w:eastAsia="Times New Roman" w:cstheme="minorHAnsi"/>
          <w:sz w:val="20"/>
          <w:szCs w:val="20"/>
          <w:lang w:eastAsia="en-IN"/>
        </w:rPr>
        <w:t>Any person availing this offer shall be deemed to have accepted these Terms and Conditions.</w:t>
      </w:r>
    </w:p>
    <w:p w14:paraId="5122175E" w14:textId="77777777" w:rsidR="00B45498" w:rsidRDefault="00B45498" w:rsidP="00B45498">
      <w:pPr>
        <w:pStyle w:val="BodyText"/>
        <w:numPr>
          <w:ilvl w:val="0"/>
          <w:numId w:val="6"/>
        </w:numPr>
        <w:tabs>
          <w:tab w:val="left" w:pos="0"/>
        </w:tabs>
        <w:spacing w:after="0"/>
        <w:rPr>
          <w:rFonts w:asciiTheme="minorHAnsi" w:hAnsiTheme="minorHAnsi" w:cstheme="minorHAnsi"/>
        </w:rPr>
      </w:pPr>
      <w:r>
        <w:rPr>
          <w:rFonts w:asciiTheme="minorHAnsi" w:eastAsia="Times New Roman" w:hAnsiTheme="minorHAnsi" w:cstheme="minorHAnsi"/>
          <w:sz w:val="20"/>
          <w:szCs w:val="20"/>
          <w:lang w:eastAsia="en-IN"/>
        </w:rPr>
        <w:t>HDFC Bank reserves the right, at any time, without prior notice and without assigning any reason whatsoever, to add/alter/modify/change or vary all these terms and conditions or to replace, wholly or in part, this offers by another offer, whether like this offer or not, or to extend or withdraw it altogether.</w:t>
      </w:r>
    </w:p>
    <w:p w14:paraId="23E74A9D" w14:textId="77777777" w:rsidR="00B45498" w:rsidRDefault="00B45498" w:rsidP="00B45498">
      <w:pPr>
        <w:pStyle w:val="BodyText"/>
        <w:numPr>
          <w:ilvl w:val="0"/>
          <w:numId w:val="6"/>
        </w:numPr>
        <w:tabs>
          <w:tab w:val="left" w:pos="0"/>
        </w:tabs>
        <w:spacing w:after="0"/>
        <w:rPr>
          <w:rFonts w:asciiTheme="minorHAnsi" w:hAnsiTheme="minorHAnsi" w:cstheme="minorHAnsi"/>
        </w:rPr>
      </w:pPr>
      <w:r>
        <w:rPr>
          <w:rFonts w:asciiTheme="minorHAnsi" w:hAnsiTheme="minorHAnsi" w:cstheme="minorHAnsi"/>
          <w:sz w:val="20"/>
          <w:szCs w:val="20"/>
        </w:rPr>
        <w:lastRenderedPageBreak/>
        <w:t xml:space="preserve">Eligible benefits for this promotion (such as Reward points / cashback) will only be posted to accounts that are active at the time of postings. </w:t>
      </w:r>
      <w:r>
        <w:rPr>
          <w:rFonts w:asciiTheme="minorHAnsi" w:hAnsiTheme="minorHAnsi" w:cstheme="minorHAnsi"/>
          <w:sz w:val="22"/>
          <w:szCs w:val="22"/>
        </w:rPr>
        <w:t xml:space="preserve"> </w:t>
      </w:r>
    </w:p>
    <w:p w14:paraId="7B263E3A" w14:textId="77777777" w:rsidR="00B45498" w:rsidRDefault="00B45498" w:rsidP="00B45498">
      <w:pPr>
        <w:numPr>
          <w:ilvl w:val="0"/>
          <w:numId w:val="6"/>
        </w:numPr>
        <w:tabs>
          <w:tab w:val="left" w:pos="0"/>
          <w:tab w:val="left" w:pos="720"/>
        </w:tabs>
        <w:autoSpaceDE w:val="0"/>
        <w:autoSpaceDN w:val="0"/>
        <w:adjustRightInd w:val="0"/>
        <w:spacing w:after="0" w:line="240" w:lineRule="auto"/>
        <w:rPr>
          <w:rFonts w:cstheme="minorHAnsi"/>
          <w:sz w:val="20"/>
          <w:szCs w:val="20"/>
        </w:rPr>
      </w:pPr>
      <w:r>
        <w:rPr>
          <w:rFonts w:cstheme="minorHAnsi"/>
          <w:sz w:val="20"/>
          <w:szCs w:val="20"/>
        </w:rPr>
        <w:t xml:space="preserve">Benefits will not be posted on credit card accounts which are permanently delinquent or closed at the time of posting. </w:t>
      </w:r>
    </w:p>
    <w:p w14:paraId="052E2512" w14:textId="77777777" w:rsidR="00B45498" w:rsidRDefault="00B45498" w:rsidP="00B45498">
      <w:pPr>
        <w:numPr>
          <w:ilvl w:val="0"/>
          <w:numId w:val="6"/>
        </w:numPr>
        <w:tabs>
          <w:tab w:val="left" w:pos="0"/>
          <w:tab w:val="left" w:pos="720"/>
        </w:tabs>
        <w:autoSpaceDE w:val="0"/>
        <w:autoSpaceDN w:val="0"/>
        <w:adjustRightInd w:val="0"/>
        <w:spacing w:after="0" w:line="240" w:lineRule="auto"/>
        <w:rPr>
          <w:rFonts w:ascii="Calibri" w:hAnsi="Calibri" w:cstheme="minorHAnsi"/>
          <w:sz w:val="20"/>
          <w:szCs w:val="20"/>
        </w:rPr>
      </w:pPr>
      <w:r>
        <w:rPr>
          <w:rFonts w:cstheme="minorHAnsi"/>
          <w:sz w:val="20"/>
          <w:szCs w:val="20"/>
        </w:rPr>
        <w:t>Benefits will also not be posted on retail credit card accounts that are flagged for working capital usage.</w:t>
      </w:r>
    </w:p>
    <w:p w14:paraId="5650C987" w14:textId="77777777" w:rsidR="00B45498" w:rsidRDefault="00B45498" w:rsidP="00B45498">
      <w:pPr>
        <w:numPr>
          <w:ilvl w:val="0"/>
          <w:numId w:val="6"/>
        </w:numPr>
        <w:tabs>
          <w:tab w:val="left" w:pos="0"/>
          <w:tab w:val="left" w:pos="720"/>
        </w:tabs>
        <w:autoSpaceDE w:val="0"/>
        <w:autoSpaceDN w:val="0"/>
        <w:adjustRightInd w:val="0"/>
        <w:spacing w:after="0" w:line="240" w:lineRule="auto"/>
        <w:rPr>
          <w:rFonts w:cstheme="minorHAnsi"/>
          <w:sz w:val="20"/>
          <w:szCs w:val="20"/>
        </w:rPr>
      </w:pPr>
      <w:r>
        <w:rPr>
          <w:rFonts w:eastAsia="Times New Roman" w:cstheme="minorHAnsi"/>
          <w:sz w:val="20"/>
          <w:szCs w:val="20"/>
          <w:lang w:eastAsia="en-IN"/>
        </w:rPr>
        <w:t>HDFC Bank Cardholders are not bound in any way to participate in this offer. Any participation is voluntary, and the offer is being made purely on a best effort basis.</w:t>
      </w:r>
    </w:p>
    <w:p w14:paraId="74501D67" w14:textId="020FD0A0" w:rsidR="00B45498" w:rsidRPr="002D795C" w:rsidRDefault="00B45498" w:rsidP="00B45498">
      <w:pPr>
        <w:numPr>
          <w:ilvl w:val="0"/>
          <w:numId w:val="6"/>
        </w:numPr>
        <w:tabs>
          <w:tab w:val="left" w:pos="0"/>
          <w:tab w:val="left" w:pos="720"/>
        </w:tabs>
        <w:autoSpaceDE w:val="0"/>
        <w:autoSpaceDN w:val="0"/>
        <w:adjustRightInd w:val="0"/>
        <w:spacing w:after="0" w:line="240" w:lineRule="auto"/>
        <w:rPr>
          <w:rFonts w:cstheme="minorHAnsi"/>
          <w:sz w:val="20"/>
          <w:szCs w:val="20"/>
        </w:rPr>
      </w:pPr>
      <w:r>
        <w:rPr>
          <w:rFonts w:eastAsia="Times New Roman" w:cstheme="minorHAnsi"/>
          <w:sz w:val="20"/>
          <w:szCs w:val="20"/>
          <w:lang w:eastAsia="en-IN"/>
        </w:rPr>
        <w:t>Nothing herein amounts to a commitment by HDFC Bank to conduct further, similar, or other offers.</w:t>
      </w:r>
    </w:p>
    <w:p w14:paraId="7C993B71" w14:textId="6145E580" w:rsidR="000750F5" w:rsidRPr="000750F5" w:rsidRDefault="000750F5" w:rsidP="7B5397AD">
      <w:pPr>
        <w:pStyle w:val="ListParagraph"/>
        <w:numPr>
          <w:ilvl w:val="0"/>
          <w:numId w:val="6"/>
        </w:numPr>
        <w:contextualSpacing/>
        <w:jc w:val="both"/>
        <w:rPr>
          <w:rFonts w:cstheme="minorBidi"/>
          <w:sz w:val="20"/>
          <w:szCs w:val="20"/>
          <w:highlight w:val="yellow"/>
        </w:rPr>
      </w:pPr>
      <w:r w:rsidRPr="7B5397AD">
        <w:rPr>
          <w:rFonts w:cstheme="minorBidi"/>
          <w:sz w:val="20"/>
          <w:szCs w:val="20"/>
          <w:highlight w:val="yellow"/>
        </w:rPr>
        <w:t xml:space="preserve">This offer is not applicable on virtual cards, Consumer Durable, VPA, Fleet, R&amp;R Commercial, Purchase cards, </w:t>
      </w:r>
      <w:proofErr w:type="spellStart"/>
      <w:r w:rsidRPr="7B5397AD">
        <w:rPr>
          <w:rFonts w:cstheme="minorBidi"/>
          <w:sz w:val="20"/>
          <w:szCs w:val="20"/>
          <w:highlight w:val="yellow"/>
        </w:rPr>
        <w:t>Intermiles</w:t>
      </w:r>
      <w:proofErr w:type="spellEnd"/>
      <w:r w:rsidRPr="7B5397AD">
        <w:rPr>
          <w:rFonts w:cstheme="minorBidi"/>
          <w:sz w:val="20"/>
          <w:szCs w:val="20"/>
          <w:highlight w:val="yellow"/>
        </w:rPr>
        <w:t>, Paytm, Equitas, Swiggy, Flipkart Wholesale, Pine Labs, Emirates, Harley, IBIBO</w:t>
      </w:r>
      <w:r w:rsidR="228F326A" w:rsidRPr="7B5397AD">
        <w:rPr>
          <w:rFonts w:cstheme="minorBidi"/>
          <w:sz w:val="20"/>
          <w:szCs w:val="20"/>
          <w:highlight w:val="yellow"/>
        </w:rPr>
        <w:t xml:space="preserve">, </w:t>
      </w:r>
      <w:r w:rsidRPr="7B5397AD">
        <w:rPr>
          <w:rFonts w:cstheme="minorBidi"/>
          <w:sz w:val="20"/>
          <w:szCs w:val="20"/>
          <w:highlight w:val="yellow"/>
        </w:rPr>
        <w:t>IRCTC</w:t>
      </w:r>
      <w:r w:rsidR="525BB77D" w:rsidRPr="7B5397AD">
        <w:rPr>
          <w:rFonts w:cstheme="minorBidi"/>
          <w:sz w:val="20"/>
          <w:szCs w:val="20"/>
          <w:highlight w:val="yellow"/>
        </w:rPr>
        <w:t xml:space="preserve">, </w:t>
      </w:r>
      <w:r w:rsidR="00032FFD">
        <w:rPr>
          <w:rFonts w:cstheme="minorBidi"/>
          <w:sz w:val="20"/>
          <w:szCs w:val="20"/>
          <w:highlight w:val="yellow"/>
        </w:rPr>
        <w:t xml:space="preserve">IOCL, </w:t>
      </w:r>
      <w:r w:rsidR="525BB77D" w:rsidRPr="7B5397AD">
        <w:rPr>
          <w:rFonts w:cstheme="minorBidi"/>
          <w:sz w:val="20"/>
          <w:szCs w:val="20"/>
          <w:highlight w:val="yellow"/>
        </w:rPr>
        <w:t xml:space="preserve">Times, Tata Neu, Shoppers, </w:t>
      </w:r>
      <w:proofErr w:type="spellStart"/>
      <w:r w:rsidR="525BB77D" w:rsidRPr="7B5397AD">
        <w:rPr>
          <w:rFonts w:cstheme="minorBidi"/>
          <w:sz w:val="20"/>
          <w:szCs w:val="20"/>
          <w:highlight w:val="yellow"/>
        </w:rPr>
        <w:t>Bestprice</w:t>
      </w:r>
      <w:proofErr w:type="spellEnd"/>
      <w:r w:rsidR="525BB77D" w:rsidRPr="7B5397AD">
        <w:rPr>
          <w:rFonts w:cstheme="minorBidi"/>
          <w:sz w:val="20"/>
          <w:szCs w:val="20"/>
          <w:highlight w:val="yellow"/>
        </w:rPr>
        <w:t xml:space="preserve">, 6E Rewards, </w:t>
      </w:r>
      <w:r w:rsidR="0FC09040" w:rsidRPr="7B5397AD">
        <w:rPr>
          <w:rFonts w:cstheme="minorBidi"/>
          <w:sz w:val="20"/>
          <w:szCs w:val="20"/>
          <w:highlight w:val="yellow"/>
        </w:rPr>
        <w:t>Marriott,</w:t>
      </w:r>
      <w:r w:rsidRPr="7B5397AD">
        <w:rPr>
          <w:rFonts w:cstheme="minorBidi"/>
          <w:sz w:val="20"/>
          <w:szCs w:val="20"/>
          <w:highlight w:val="yellow"/>
        </w:rPr>
        <w:t xml:space="preserve"> </w:t>
      </w:r>
      <w:proofErr w:type="spellStart"/>
      <w:r w:rsidR="250D2841" w:rsidRPr="7B5397AD">
        <w:rPr>
          <w:rFonts w:cstheme="minorBidi"/>
          <w:sz w:val="20"/>
          <w:szCs w:val="20"/>
          <w:highlight w:val="yellow"/>
        </w:rPr>
        <w:t>PhonePay</w:t>
      </w:r>
      <w:proofErr w:type="spellEnd"/>
      <w:r w:rsidR="250D2841" w:rsidRPr="7B5397AD">
        <w:rPr>
          <w:rFonts w:cstheme="minorBidi"/>
          <w:sz w:val="20"/>
          <w:szCs w:val="20"/>
          <w:highlight w:val="yellow"/>
        </w:rPr>
        <w:t xml:space="preserve">, Snapdeal </w:t>
      </w:r>
      <w:r w:rsidRPr="7B5397AD">
        <w:rPr>
          <w:rFonts w:cstheme="minorBidi"/>
          <w:sz w:val="20"/>
          <w:szCs w:val="20"/>
          <w:highlight w:val="yellow"/>
        </w:rPr>
        <w:t>Cards</w:t>
      </w:r>
      <w:r w:rsidR="00032FFD">
        <w:rPr>
          <w:rFonts w:cstheme="minorBidi"/>
          <w:sz w:val="20"/>
          <w:szCs w:val="20"/>
          <w:highlight w:val="yellow"/>
        </w:rPr>
        <w:t xml:space="preserve"> for regular full swipe transactions</w:t>
      </w:r>
    </w:p>
    <w:p w14:paraId="44602A41" w14:textId="62F21840" w:rsidR="00B45498" w:rsidRDefault="00B45498" w:rsidP="00B45498">
      <w:pPr>
        <w:pStyle w:val="ListParagraph"/>
        <w:numPr>
          <w:ilvl w:val="0"/>
          <w:numId w:val="6"/>
        </w:numPr>
        <w:contextualSpacing/>
        <w:jc w:val="both"/>
        <w:rPr>
          <w:rFonts w:cstheme="minorHAnsi"/>
          <w:sz w:val="20"/>
          <w:szCs w:val="20"/>
        </w:rPr>
      </w:pPr>
      <w:r>
        <w:rPr>
          <w:rFonts w:cstheme="minorHAnsi"/>
          <w:sz w:val="20"/>
          <w:szCs w:val="20"/>
        </w:rPr>
        <w:t>This offer is non-cashable, not extendable, and non-negotiable.</w:t>
      </w:r>
    </w:p>
    <w:p w14:paraId="5DE88491" w14:textId="77777777" w:rsidR="00512F5D" w:rsidRPr="001B2ADB" w:rsidRDefault="00512F5D" w:rsidP="00512F5D">
      <w:pPr>
        <w:pStyle w:val="ListParagraph"/>
        <w:numPr>
          <w:ilvl w:val="0"/>
          <w:numId w:val="6"/>
        </w:numPr>
        <w:contextualSpacing/>
        <w:jc w:val="both"/>
        <w:rPr>
          <w:rFonts w:cstheme="minorHAnsi"/>
          <w:sz w:val="20"/>
          <w:szCs w:val="20"/>
          <w:highlight w:val="cyan"/>
        </w:rPr>
      </w:pPr>
      <w:r w:rsidRPr="001B2ADB">
        <w:rPr>
          <w:rFonts w:cstheme="minorHAnsi"/>
          <w:sz w:val="20"/>
          <w:szCs w:val="20"/>
          <w:highlight w:val="cyan"/>
        </w:rPr>
        <w:t>Purchases eligible for Instant Discount/ Cashback on HDFC Bank Credit Card will not qualify for Reward</w:t>
      </w:r>
    </w:p>
    <w:p w14:paraId="64BD6F23" w14:textId="77777777" w:rsidR="00512F5D" w:rsidRDefault="00512F5D" w:rsidP="00512F5D">
      <w:pPr>
        <w:ind w:left="720"/>
        <w:jc w:val="both"/>
        <w:rPr>
          <w:rFonts w:eastAsia="Times New Roman" w:cstheme="minorHAnsi"/>
          <w:sz w:val="20"/>
          <w:szCs w:val="20"/>
          <w:lang w:eastAsia="en-IN"/>
        </w:rPr>
      </w:pPr>
      <w:r w:rsidRPr="001B2ADB">
        <w:rPr>
          <w:rFonts w:eastAsia="Times New Roman" w:cstheme="minorHAnsi"/>
          <w:sz w:val="20"/>
          <w:szCs w:val="20"/>
          <w:highlight w:val="cyan"/>
          <w:lang w:eastAsia="en-IN"/>
        </w:rPr>
        <w:t xml:space="preserve">Points. The same will be reversed within 120 days of end of cashback posting month or end of offer </w:t>
      </w:r>
      <w:r>
        <w:rPr>
          <w:rFonts w:eastAsia="Times New Roman" w:cstheme="minorHAnsi"/>
          <w:sz w:val="20"/>
          <w:szCs w:val="20"/>
          <w:highlight w:val="cyan"/>
          <w:lang w:eastAsia="en-IN"/>
        </w:rPr>
        <w:t>month</w:t>
      </w:r>
      <w:r w:rsidRPr="001B2ADB">
        <w:rPr>
          <w:rFonts w:eastAsia="Times New Roman" w:cstheme="minorHAnsi"/>
          <w:sz w:val="20"/>
          <w:szCs w:val="20"/>
          <w:highlight w:val="cyan"/>
          <w:lang w:eastAsia="en-IN"/>
        </w:rPr>
        <w:t xml:space="preserve"> for Instant discount offers</w:t>
      </w:r>
      <w:r>
        <w:rPr>
          <w:rFonts w:eastAsia="Times New Roman" w:cstheme="minorHAnsi"/>
          <w:sz w:val="20"/>
          <w:szCs w:val="20"/>
          <w:lang w:eastAsia="en-IN"/>
        </w:rPr>
        <w:t>.</w:t>
      </w:r>
    </w:p>
    <w:p w14:paraId="3841E66A" w14:textId="034E0FB6" w:rsidR="00B45498" w:rsidRPr="00512F5D" w:rsidRDefault="00B45498" w:rsidP="00512F5D">
      <w:pPr>
        <w:pStyle w:val="ListParagraph"/>
        <w:numPr>
          <w:ilvl w:val="0"/>
          <w:numId w:val="6"/>
        </w:numPr>
        <w:jc w:val="both"/>
        <w:rPr>
          <w:rFonts w:cstheme="minorHAnsi"/>
          <w:sz w:val="20"/>
          <w:szCs w:val="20"/>
        </w:rPr>
      </w:pPr>
      <w:r w:rsidRPr="00512F5D">
        <w:rPr>
          <w:rFonts w:cstheme="minorHAnsi"/>
          <w:sz w:val="20"/>
          <w:szCs w:val="20"/>
        </w:rPr>
        <w:t>If a card member has more than 1 (one) HDFC Bank Credit/Debit Card, spends on the cards cannot be clubbed by the card member to qualify for the said offer.</w:t>
      </w:r>
    </w:p>
    <w:p w14:paraId="53315270" w14:textId="77777777" w:rsidR="00B45498" w:rsidRPr="00E675B6" w:rsidRDefault="00B45498" w:rsidP="00B45498">
      <w:pPr>
        <w:numPr>
          <w:ilvl w:val="0"/>
          <w:numId w:val="6"/>
        </w:numPr>
        <w:spacing w:after="0"/>
        <w:rPr>
          <w:rFonts w:eastAsia="Times New Roman" w:cstheme="minorHAnsi"/>
          <w:b/>
          <w:bCs/>
          <w:sz w:val="20"/>
          <w:szCs w:val="20"/>
          <w:highlight w:val="yellow"/>
          <w:lang w:eastAsia="en-IN"/>
        </w:rPr>
      </w:pPr>
      <w:r w:rsidRPr="00E675B6">
        <w:rPr>
          <w:rFonts w:eastAsia="Times New Roman" w:cstheme="minorHAnsi"/>
          <w:b/>
          <w:bCs/>
          <w:sz w:val="20"/>
          <w:szCs w:val="20"/>
          <w:highlight w:val="yellow"/>
          <w:lang w:eastAsia="en-IN"/>
        </w:rPr>
        <w:t>The above offer is by way of a special offer co-funded by the Bank &amp; Merchant for select HDFC Bank Credit/Debit Cardholders only and nothing contained herein shall prejudice or affect the terms and conditions of the card member agreement. The terms of the above schemes shall be in addition to and not in derogation of the terms contained in the card member agreement.</w:t>
      </w:r>
    </w:p>
    <w:p w14:paraId="26347C0A" w14:textId="77777777" w:rsidR="00B45498" w:rsidRDefault="00B45498" w:rsidP="00B45498">
      <w:pPr>
        <w:numPr>
          <w:ilvl w:val="0"/>
          <w:numId w:val="6"/>
        </w:numPr>
        <w:spacing w:after="0"/>
        <w:rPr>
          <w:rFonts w:eastAsia="Times New Roman" w:cstheme="minorHAnsi"/>
          <w:sz w:val="20"/>
          <w:szCs w:val="20"/>
          <w:lang w:eastAsia="en-IN"/>
        </w:rPr>
      </w:pPr>
      <w:r>
        <w:rPr>
          <w:rFonts w:eastAsia="Times New Roman" w:cstheme="minorHAnsi"/>
          <w:sz w:val="20"/>
          <w:szCs w:val="20"/>
          <w:lang w:eastAsia="en-IN"/>
        </w:rPr>
        <w:t>All disputes, if any, arising out of or in connection with or because of above offers or otherwise relating hereto shall be subject to the exclusive jurisdiction of the competent courts / tribunals in Mumbai only, irrespective of whether courts / tribunals in other areas have concurrent or similar jurisdiction.</w:t>
      </w:r>
    </w:p>
    <w:p w14:paraId="46874DF2" w14:textId="77777777" w:rsidR="00B45498" w:rsidRDefault="00B45498" w:rsidP="00B45498">
      <w:pPr>
        <w:numPr>
          <w:ilvl w:val="0"/>
          <w:numId w:val="6"/>
        </w:numPr>
        <w:spacing w:after="0"/>
        <w:rPr>
          <w:rFonts w:eastAsia="Times New Roman" w:cstheme="minorHAnsi"/>
          <w:sz w:val="20"/>
          <w:szCs w:val="20"/>
          <w:lang w:eastAsia="en-IN"/>
        </w:rPr>
      </w:pPr>
      <w:r>
        <w:rPr>
          <w:rFonts w:eastAsia="Times New Roman" w:cstheme="minorHAnsi"/>
          <w:sz w:val="20"/>
          <w:szCs w:val="20"/>
          <w:lang w:eastAsia="en-IN"/>
        </w:rPr>
        <w:t>Any query regarding the program will be entertained till 60 days from the posting date. After said date the Bank will not entertain any correspondence or communication regarding this Program from the cardholder.</w:t>
      </w:r>
    </w:p>
    <w:p w14:paraId="55E84F1C" w14:textId="32DF525F" w:rsidR="00A51719" w:rsidRPr="001D191F" w:rsidRDefault="00B45498" w:rsidP="001D191F">
      <w:pPr>
        <w:numPr>
          <w:ilvl w:val="0"/>
          <w:numId w:val="6"/>
        </w:numPr>
        <w:spacing w:before="100" w:beforeAutospacing="1" w:after="100" w:afterAutospacing="1"/>
        <w:rPr>
          <w:sz w:val="20"/>
          <w:szCs w:val="20"/>
          <w:lang w:val="en-US"/>
        </w:rPr>
      </w:pPr>
      <w:r w:rsidRPr="7B5397AD">
        <w:rPr>
          <w:sz w:val="20"/>
          <w:szCs w:val="20"/>
          <w:lang w:val="en-US"/>
        </w:rPr>
        <w:t>Any Tax, service charge or other charges levied with regards to the Promotional Offer, may be borne by the Card Holder / winner.</w:t>
      </w:r>
    </w:p>
    <w:sectPr w:rsidR="00A51719" w:rsidRPr="001D191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4ECE1" w14:textId="77777777" w:rsidR="00EC2585" w:rsidRDefault="00EC2585" w:rsidP="00FC6B63">
      <w:pPr>
        <w:spacing w:after="0" w:line="240" w:lineRule="auto"/>
      </w:pPr>
      <w:r>
        <w:separator/>
      </w:r>
    </w:p>
  </w:endnote>
  <w:endnote w:type="continuationSeparator" w:id="0">
    <w:p w14:paraId="09D407F6" w14:textId="77777777" w:rsidR="00EC2585" w:rsidRDefault="00EC2585" w:rsidP="00FC6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60FB" w14:textId="718D5BA1" w:rsidR="00FC6B63" w:rsidRDefault="00FC6B63">
    <w:pPr>
      <w:pStyle w:val="Footer"/>
    </w:pPr>
    <w:r>
      <w:rPr>
        <w:noProof/>
      </w:rPr>
      <mc:AlternateContent>
        <mc:Choice Requires="wps">
          <w:drawing>
            <wp:anchor distT="0" distB="0" distL="0" distR="0" simplePos="0" relativeHeight="251662336" behindDoc="0" locked="0" layoutInCell="1" allowOverlap="1" wp14:anchorId="57013084" wp14:editId="7B694973">
              <wp:simplePos x="635" y="635"/>
              <wp:positionH relativeFrom="column">
                <wp:align>center</wp:align>
              </wp:positionH>
              <wp:positionV relativeFrom="paragraph">
                <wp:posOffset>635</wp:posOffset>
              </wp:positionV>
              <wp:extent cx="443865" cy="443865"/>
              <wp:effectExtent l="0" t="0" r="1905" b="635"/>
              <wp:wrapSquare wrapText="bothSides"/>
              <wp:docPr id="5" name="Text Box 5"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2CB812" w14:textId="589E56AA" w:rsidR="00FC6B63" w:rsidRPr="00FC6B63" w:rsidRDefault="00FC6B63">
                          <w:pPr>
                            <w:rPr>
                              <w:rFonts w:ascii="Calibri" w:eastAsia="Calibri" w:hAnsi="Calibri" w:cs="Calibri"/>
                              <w:noProof/>
                              <w:color w:val="0000FF"/>
                            </w:rPr>
                          </w:pPr>
                          <w:r w:rsidRPr="00FC6B63">
                            <w:rPr>
                              <w:rFonts w:ascii="Calibri" w:eastAsia="Calibri" w:hAnsi="Calibri" w:cs="Calibri"/>
                              <w:noProof/>
                              <w:color w:val="0000FF"/>
                            </w:rPr>
                            <w:t>Classification - 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7013084" id="_x0000_t202" coordsize="21600,21600" o:spt="202" path="m,l,21600r21600,l21600,xe">
              <v:stroke joinstyle="miter"/>
              <v:path gradientshapeok="t" o:connecttype="rect"/>
            </v:shapetype>
            <v:shape id="Text Box 5" o:spid="_x0000_s1028" type="#_x0000_t202" alt="Classification - Intern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22CB812" w14:textId="589E56AA" w:rsidR="00FC6B63" w:rsidRPr="00FC6B63" w:rsidRDefault="00FC6B63">
                    <w:pPr>
                      <w:rPr>
                        <w:rFonts w:ascii="Calibri" w:eastAsia="Calibri" w:hAnsi="Calibri" w:cs="Calibri"/>
                        <w:noProof/>
                        <w:color w:val="0000FF"/>
                      </w:rPr>
                    </w:pPr>
                    <w:r w:rsidRPr="00FC6B63">
                      <w:rPr>
                        <w:rFonts w:ascii="Calibri" w:eastAsia="Calibri" w:hAnsi="Calibri" w:cs="Calibri"/>
                        <w:noProof/>
                        <w:color w:val="0000FF"/>
                      </w:rPr>
                      <w:t>Classification - 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6471" w14:textId="08AA7881" w:rsidR="00FC6B63" w:rsidRDefault="00FC6B63">
    <w:pPr>
      <w:pStyle w:val="Footer"/>
    </w:pPr>
    <w:r>
      <w:rPr>
        <w:noProof/>
      </w:rPr>
      <mc:AlternateContent>
        <mc:Choice Requires="wps">
          <w:drawing>
            <wp:anchor distT="0" distB="0" distL="0" distR="0" simplePos="0" relativeHeight="251663360" behindDoc="0" locked="0" layoutInCell="1" allowOverlap="1" wp14:anchorId="0EDDA4EA" wp14:editId="10A0D8E6">
              <wp:simplePos x="914400" y="10067925"/>
              <wp:positionH relativeFrom="column">
                <wp:align>center</wp:align>
              </wp:positionH>
              <wp:positionV relativeFrom="paragraph">
                <wp:posOffset>635</wp:posOffset>
              </wp:positionV>
              <wp:extent cx="443865" cy="443865"/>
              <wp:effectExtent l="0" t="0" r="1905" b="635"/>
              <wp:wrapSquare wrapText="bothSides"/>
              <wp:docPr id="6" name="Text Box 6"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A971AB" w14:textId="617A883B" w:rsidR="00FC6B63" w:rsidRPr="00FC6B63" w:rsidRDefault="00FC6B63">
                          <w:pPr>
                            <w:rPr>
                              <w:rFonts w:ascii="Calibri" w:eastAsia="Calibri" w:hAnsi="Calibri" w:cs="Calibri"/>
                              <w:noProof/>
                              <w:color w:val="0000FF"/>
                            </w:rPr>
                          </w:pPr>
                          <w:r w:rsidRPr="00FC6B63">
                            <w:rPr>
                              <w:rFonts w:ascii="Calibri" w:eastAsia="Calibri" w:hAnsi="Calibri" w:cs="Calibri"/>
                              <w:noProof/>
                              <w:color w:val="0000FF"/>
                            </w:rPr>
                            <w:t>Classification - 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DDA4EA" id="_x0000_t202" coordsize="21600,21600" o:spt="202" path="m,l,21600r21600,l21600,xe">
              <v:stroke joinstyle="miter"/>
              <v:path gradientshapeok="t" o:connecttype="rect"/>
            </v:shapetype>
            <v:shape id="Text Box 6" o:spid="_x0000_s1029" type="#_x0000_t202" alt="Classification - Intern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4AA971AB" w14:textId="617A883B" w:rsidR="00FC6B63" w:rsidRPr="00FC6B63" w:rsidRDefault="00FC6B63">
                    <w:pPr>
                      <w:rPr>
                        <w:rFonts w:ascii="Calibri" w:eastAsia="Calibri" w:hAnsi="Calibri" w:cs="Calibri"/>
                        <w:noProof/>
                        <w:color w:val="0000FF"/>
                      </w:rPr>
                    </w:pPr>
                    <w:r w:rsidRPr="00FC6B63">
                      <w:rPr>
                        <w:rFonts w:ascii="Calibri" w:eastAsia="Calibri" w:hAnsi="Calibri" w:cs="Calibri"/>
                        <w:noProof/>
                        <w:color w:val="0000FF"/>
                      </w:rPr>
                      <w:t>Classification - Internal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A489" w14:textId="71150323" w:rsidR="00FC6B63" w:rsidRDefault="00FC6B63">
    <w:pPr>
      <w:pStyle w:val="Footer"/>
    </w:pPr>
    <w:r>
      <w:rPr>
        <w:noProof/>
      </w:rPr>
      <mc:AlternateContent>
        <mc:Choice Requires="wps">
          <w:drawing>
            <wp:anchor distT="0" distB="0" distL="0" distR="0" simplePos="0" relativeHeight="251661312" behindDoc="0" locked="0" layoutInCell="1" allowOverlap="1" wp14:anchorId="4E265A6A" wp14:editId="17364C5E">
              <wp:simplePos x="635" y="635"/>
              <wp:positionH relativeFrom="column">
                <wp:align>center</wp:align>
              </wp:positionH>
              <wp:positionV relativeFrom="paragraph">
                <wp:posOffset>635</wp:posOffset>
              </wp:positionV>
              <wp:extent cx="443865" cy="443865"/>
              <wp:effectExtent l="0" t="0" r="1905" b="635"/>
              <wp:wrapSquare wrapText="bothSides"/>
              <wp:docPr id="4" name="Text Box 4"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E6B73F" w14:textId="2610CAE6" w:rsidR="00FC6B63" w:rsidRPr="00FC6B63" w:rsidRDefault="00FC6B63">
                          <w:pPr>
                            <w:rPr>
                              <w:rFonts w:ascii="Calibri" w:eastAsia="Calibri" w:hAnsi="Calibri" w:cs="Calibri"/>
                              <w:noProof/>
                              <w:color w:val="0000FF"/>
                            </w:rPr>
                          </w:pPr>
                          <w:r w:rsidRPr="00FC6B63">
                            <w:rPr>
                              <w:rFonts w:ascii="Calibri" w:eastAsia="Calibri" w:hAnsi="Calibri" w:cs="Calibri"/>
                              <w:noProof/>
                              <w:color w:val="0000FF"/>
                            </w:rPr>
                            <w:t>Classification - 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E265A6A" id="_x0000_t202" coordsize="21600,21600" o:spt="202" path="m,l,21600r21600,l21600,xe">
              <v:stroke joinstyle="miter"/>
              <v:path gradientshapeok="t" o:connecttype="rect"/>
            </v:shapetype>
            <v:shape id="Text Box 4" o:spid="_x0000_s1031" type="#_x0000_t202" alt="Classification - Intern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58E6B73F" w14:textId="2610CAE6" w:rsidR="00FC6B63" w:rsidRPr="00FC6B63" w:rsidRDefault="00FC6B63">
                    <w:pPr>
                      <w:rPr>
                        <w:rFonts w:ascii="Calibri" w:eastAsia="Calibri" w:hAnsi="Calibri" w:cs="Calibri"/>
                        <w:noProof/>
                        <w:color w:val="0000FF"/>
                      </w:rPr>
                    </w:pPr>
                    <w:r w:rsidRPr="00FC6B63">
                      <w:rPr>
                        <w:rFonts w:ascii="Calibri" w:eastAsia="Calibri" w:hAnsi="Calibri" w:cs="Calibri"/>
                        <w:noProof/>
                        <w:color w:val="0000FF"/>
                      </w:rPr>
                      <w:t>Classification - 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5C09D" w14:textId="77777777" w:rsidR="00EC2585" w:rsidRDefault="00EC2585" w:rsidP="00FC6B63">
      <w:pPr>
        <w:spacing w:after="0" w:line="240" w:lineRule="auto"/>
      </w:pPr>
      <w:r>
        <w:separator/>
      </w:r>
    </w:p>
  </w:footnote>
  <w:footnote w:type="continuationSeparator" w:id="0">
    <w:p w14:paraId="2A94A3A3" w14:textId="77777777" w:rsidR="00EC2585" w:rsidRDefault="00EC2585" w:rsidP="00FC6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522B" w14:textId="172AE1CC" w:rsidR="00FC6B63" w:rsidRDefault="00FC6B63">
    <w:pPr>
      <w:pStyle w:val="Header"/>
    </w:pPr>
    <w:r>
      <w:rPr>
        <w:noProof/>
      </w:rPr>
      <mc:AlternateContent>
        <mc:Choice Requires="wps">
          <w:drawing>
            <wp:anchor distT="0" distB="0" distL="0" distR="0" simplePos="0" relativeHeight="251659264" behindDoc="0" locked="0" layoutInCell="1" allowOverlap="1" wp14:anchorId="63251949" wp14:editId="57BCEC97">
              <wp:simplePos x="635" y="635"/>
              <wp:positionH relativeFrom="column">
                <wp:align>center</wp:align>
              </wp:positionH>
              <wp:positionV relativeFrom="paragraph">
                <wp:posOffset>635</wp:posOffset>
              </wp:positionV>
              <wp:extent cx="443865" cy="443865"/>
              <wp:effectExtent l="0" t="0" r="1905" b="635"/>
              <wp:wrapSquare wrapText="bothSides"/>
              <wp:docPr id="2" name="Text Box 2" descr="Classificatio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E065F8" w14:textId="7BB4ADF6" w:rsidR="00FC6B63" w:rsidRPr="00FC6B63" w:rsidRDefault="00FC6B63">
                          <w:pPr>
                            <w:rPr>
                              <w:rFonts w:ascii="Calibri" w:eastAsia="Calibri" w:hAnsi="Calibri" w:cs="Calibri"/>
                              <w:noProof/>
                              <w:color w:val="0000FF"/>
                            </w:rPr>
                          </w:pPr>
                          <w:r w:rsidRPr="00FC6B63">
                            <w:rPr>
                              <w:rFonts w:ascii="Calibri" w:eastAsia="Calibri" w:hAnsi="Calibri" w:cs="Calibri"/>
                              <w:noProof/>
                              <w:color w:val="0000FF"/>
                            </w:rPr>
                            <w:t>Classification - 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251949" id="_x0000_t202" coordsize="21600,21600" o:spt="202" path="m,l,21600r21600,l21600,xe">
              <v:stroke joinstyle="miter"/>
              <v:path gradientshapeok="t" o:connecttype="rect"/>
            </v:shapetype>
            <v:shape id="Text Box 2" o:spid="_x0000_s1026" type="#_x0000_t202" alt="Classification - Intern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0E065F8" w14:textId="7BB4ADF6" w:rsidR="00FC6B63" w:rsidRPr="00FC6B63" w:rsidRDefault="00FC6B63">
                    <w:pPr>
                      <w:rPr>
                        <w:rFonts w:ascii="Calibri" w:eastAsia="Calibri" w:hAnsi="Calibri" w:cs="Calibri"/>
                        <w:noProof/>
                        <w:color w:val="0000FF"/>
                      </w:rPr>
                    </w:pPr>
                    <w:r w:rsidRPr="00FC6B63">
                      <w:rPr>
                        <w:rFonts w:ascii="Calibri" w:eastAsia="Calibri" w:hAnsi="Calibri" w:cs="Calibri"/>
                        <w:noProof/>
                        <w:color w:val="0000FF"/>
                      </w:rPr>
                      <w:t>Classification - Internal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946F" w14:textId="2CC95B90" w:rsidR="00FC6B63" w:rsidRDefault="00FC6B63">
    <w:pPr>
      <w:pStyle w:val="Header"/>
    </w:pPr>
    <w:r>
      <w:rPr>
        <w:noProof/>
      </w:rPr>
      <mc:AlternateContent>
        <mc:Choice Requires="wps">
          <w:drawing>
            <wp:anchor distT="0" distB="0" distL="0" distR="0" simplePos="0" relativeHeight="251660288" behindDoc="0" locked="0" layoutInCell="1" allowOverlap="1" wp14:anchorId="43CA63FA" wp14:editId="0F22190E">
              <wp:simplePos x="914400" y="447675"/>
              <wp:positionH relativeFrom="column">
                <wp:align>center</wp:align>
              </wp:positionH>
              <wp:positionV relativeFrom="paragraph">
                <wp:posOffset>635</wp:posOffset>
              </wp:positionV>
              <wp:extent cx="443865" cy="443865"/>
              <wp:effectExtent l="0" t="0" r="1905" b="635"/>
              <wp:wrapSquare wrapText="bothSides"/>
              <wp:docPr id="3" name="Text Box 3" descr="Classificatio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E3E13D" w14:textId="1E44808F" w:rsidR="00FC6B63" w:rsidRPr="00FC6B63" w:rsidRDefault="00FC6B63">
                          <w:pPr>
                            <w:rPr>
                              <w:rFonts w:ascii="Calibri" w:eastAsia="Calibri" w:hAnsi="Calibri" w:cs="Calibri"/>
                              <w:noProof/>
                              <w:color w:val="0000FF"/>
                            </w:rPr>
                          </w:pPr>
                          <w:r w:rsidRPr="00FC6B63">
                            <w:rPr>
                              <w:rFonts w:ascii="Calibri" w:eastAsia="Calibri" w:hAnsi="Calibri" w:cs="Calibri"/>
                              <w:noProof/>
                              <w:color w:val="0000FF"/>
                            </w:rPr>
                            <w:t>Classification - 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CA63FA" id="_x0000_t202" coordsize="21600,21600" o:spt="202" path="m,l,21600r21600,l21600,xe">
              <v:stroke joinstyle="miter"/>
              <v:path gradientshapeok="t" o:connecttype="rect"/>
            </v:shapetype>
            <v:shape id="Text Box 3" o:spid="_x0000_s1027" type="#_x0000_t202" alt="Classification - Intern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1E3E13D" w14:textId="1E44808F" w:rsidR="00FC6B63" w:rsidRPr="00FC6B63" w:rsidRDefault="00FC6B63">
                    <w:pPr>
                      <w:rPr>
                        <w:rFonts w:ascii="Calibri" w:eastAsia="Calibri" w:hAnsi="Calibri" w:cs="Calibri"/>
                        <w:noProof/>
                        <w:color w:val="0000FF"/>
                      </w:rPr>
                    </w:pPr>
                    <w:r w:rsidRPr="00FC6B63">
                      <w:rPr>
                        <w:rFonts w:ascii="Calibri" w:eastAsia="Calibri" w:hAnsi="Calibri" w:cs="Calibri"/>
                        <w:noProof/>
                        <w:color w:val="0000FF"/>
                      </w:rPr>
                      <w:t>Classification - Internal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7F41D" w14:textId="1D110A83" w:rsidR="00FC6B63" w:rsidRDefault="00FC6B63">
    <w:pPr>
      <w:pStyle w:val="Header"/>
    </w:pPr>
    <w:r>
      <w:rPr>
        <w:noProof/>
      </w:rPr>
      <mc:AlternateContent>
        <mc:Choice Requires="wps">
          <w:drawing>
            <wp:anchor distT="0" distB="0" distL="0" distR="0" simplePos="0" relativeHeight="251658240" behindDoc="0" locked="0" layoutInCell="1" allowOverlap="1" wp14:anchorId="31CCF438" wp14:editId="62FEDDC7">
              <wp:simplePos x="635" y="635"/>
              <wp:positionH relativeFrom="column">
                <wp:align>center</wp:align>
              </wp:positionH>
              <wp:positionV relativeFrom="paragraph">
                <wp:posOffset>635</wp:posOffset>
              </wp:positionV>
              <wp:extent cx="443865" cy="443865"/>
              <wp:effectExtent l="0" t="0" r="1905" b="635"/>
              <wp:wrapSquare wrapText="bothSides"/>
              <wp:docPr id="1" name="Text Box 1" descr="Classificatio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E26F3A" w14:textId="46D1E28E" w:rsidR="00FC6B63" w:rsidRPr="00FC6B63" w:rsidRDefault="00FC6B63">
                          <w:pPr>
                            <w:rPr>
                              <w:rFonts w:ascii="Calibri" w:eastAsia="Calibri" w:hAnsi="Calibri" w:cs="Calibri"/>
                              <w:noProof/>
                              <w:color w:val="0000FF"/>
                            </w:rPr>
                          </w:pPr>
                          <w:r w:rsidRPr="00FC6B63">
                            <w:rPr>
                              <w:rFonts w:ascii="Calibri" w:eastAsia="Calibri" w:hAnsi="Calibri" w:cs="Calibri"/>
                              <w:noProof/>
                              <w:color w:val="0000FF"/>
                            </w:rPr>
                            <w:t>Classification - 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CCF438" id="_x0000_t202" coordsize="21600,21600" o:spt="202" path="m,l,21600r21600,l21600,xe">
              <v:stroke joinstyle="miter"/>
              <v:path gradientshapeok="t" o:connecttype="rect"/>
            </v:shapetype>
            <v:shape id="Text Box 1" o:spid="_x0000_s1030" type="#_x0000_t202" alt="Classification - Intern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61E26F3A" w14:textId="46D1E28E" w:rsidR="00FC6B63" w:rsidRPr="00FC6B63" w:rsidRDefault="00FC6B63">
                    <w:pPr>
                      <w:rPr>
                        <w:rFonts w:ascii="Calibri" w:eastAsia="Calibri" w:hAnsi="Calibri" w:cs="Calibri"/>
                        <w:noProof/>
                        <w:color w:val="0000FF"/>
                      </w:rPr>
                    </w:pPr>
                    <w:r w:rsidRPr="00FC6B63">
                      <w:rPr>
                        <w:rFonts w:ascii="Calibri" w:eastAsia="Calibri" w:hAnsi="Calibri" w:cs="Calibri"/>
                        <w:noProof/>
                        <w:color w:val="0000FF"/>
                      </w:rPr>
                      <w:t>Classification - Internal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0D0A380"/>
    <w:lvl w:ilvl="0">
      <w:numFmt w:val="bullet"/>
      <w:lvlText w:val="*"/>
      <w:lvlJc w:val="left"/>
    </w:lvl>
  </w:abstractNum>
  <w:abstractNum w:abstractNumId="1" w15:restartNumberingAfterBreak="0">
    <w:nsid w:val="0987363A"/>
    <w:multiLevelType w:val="hybridMultilevel"/>
    <w:tmpl w:val="B93CB290"/>
    <w:lvl w:ilvl="0" w:tplc="4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165071D"/>
    <w:multiLevelType w:val="multilevel"/>
    <w:tmpl w:val="1F30D14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5793E"/>
    <w:multiLevelType w:val="hybridMultilevel"/>
    <w:tmpl w:val="375E8EE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33D649F7"/>
    <w:multiLevelType w:val="hybridMultilevel"/>
    <w:tmpl w:val="DE8A1500"/>
    <w:lvl w:ilvl="0" w:tplc="04EAFAA8">
      <w:start w:val="1"/>
      <w:numFmt w:val="lowerRoman"/>
      <w:lvlText w:val="%1."/>
      <w:lvlJc w:val="right"/>
      <w:pPr>
        <w:ind w:left="720" w:hanging="360"/>
      </w:pPr>
      <w:rPr>
        <w:rFonts w:hint="default"/>
        <w:strike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43C6FEC"/>
    <w:multiLevelType w:val="hybridMultilevel"/>
    <w:tmpl w:val="DBB2ED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17D078F"/>
    <w:multiLevelType w:val="multilevel"/>
    <w:tmpl w:val="5606B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09838088">
    <w:abstractNumId w:val="2"/>
  </w:num>
  <w:num w:numId="2" w16cid:durableId="843780765">
    <w:abstractNumId w:val="6"/>
  </w:num>
  <w:num w:numId="3" w16cid:durableId="1079600767">
    <w:abstractNumId w:val="0"/>
    <w:lvlOverride w:ilvl="0">
      <w:lvl w:ilvl="0">
        <w:numFmt w:val="bullet"/>
        <w:lvlText w:val=""/>
        <w:legacy w:legacy="1" w:legacySpace="0" w:legacyIndent="0"/>
        <w:lvlJc w:val="left"/>
        <w:rPr>
          <w:rFonts w:ascii="Symbol" w:hAnsi="Symbol" w:hint="default"/>
          <w:sz w:val="22"/>
        </w:rPr>
      </w:lvl>
    </w:lvlOverride>
  </w:num>
  <w:num w:numId="4" w16cid:durableId="714343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5198392">
    <w:abstractNumId w:val="3"/>
  </w:num>
  <w:num w:numId="6" w16cid:durableId="1080979379">
    <w:abstractNumId w:val="1"/>
  </w:num>
  <w:num w:numId="7" w16cid:durableId="1132671017">
    <w:abstractNumId w:val="0"/>
    <w:lvlOverride w:ilvl="0">
      <w:lvl w:ilvl="0">
        <w:numFmt w:val="decimal"/>
        <w:lvlText w:val=""/>
        <w:legacy w:legacy="1" w:legacySpace="0" w:legacyIndent="0"/>
        <w:lvlJc w:val="left"/>
        <w:pPr>
          <w:ind w:left="0" w:firstLine="0"/>
        </w:pPr>
        <w:rPr>
          <w:rFonts w:ascii="Symbol" w:hAnsi="Symbol" w:hint="default"/>
          <w:sz w:val="22"/>
        </w:rPr>
      </w:lvl>
    </w:lvlOverride>
  </w:num>
  <w:num w:numId="8" w16cid:durableId="1270502634">
    <w:abstractNumId w:val="4"/>
  </w:num>
  <w:num w:numId="9" w16cid:durableId="1272080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767"/>
    <w:rsid w:val="00032FFD"/>
    <w:rsid w:val="000750F5"/>
    <w:rsid w:val="000A256A"/>
    <w:rsid w:val="000B4B15"/>
    <w:rsid w:val="000C7DCC"/>
    <w:rsid w:val="000E5DCD"/>
    <w:rsid w:val="0013661C"/>
    <w:rsid w:val="001A51A6"/>
    <w:rsid w:val="001D191F"/>
    <w:rsid w:val="001D314A"/>
    <w:rsid w:val="00244A26"/>
    <w:rsid w:val="0024676E"/>
    <w:rsid w:val="00295D1A"/>
    <w:rsid w:val="002C53A1"/>
    <w:rsid w:val="002C6D9C"/>
    <w:rsid w:val="002D795C"/>
    <w:rsid w:val="00301B2F"/>
    <w:rsid w:val="00322436"/>
    <w:rsid w:val="00333D1D"/>
    <w:rsid w:val="003B25BB"/>
    <w:rsid w:val="0044365C"/>
    <w:rsid w:val="00462D93"/>
    <w:rsid w:val="004933F6"/>
    <w:rsid w:val="004A1270"/>
    <w:rsid w:val="004A3481"/>
    <w:rsid w:val="004F61A6"/>
    <w:rsid w:val="00512F5D"/>
    <w:rsid w:val="00527BE4"/>
    <w:rsid w:val="005604DE"/>
    <w:rsid w:val="005733CA"/>
    <w:rsid w:val="00597C48"/>
    <w:rsid w:val="005A7563"/>
    <w:rsid w:val="007A44EE"/>
    <w:rsid w:val="007C18E6"/>
    <w:rsid w:val="008170A1"/>
    <w:rsid w:val="00846386"/>
    <w:rsid w:val="00857767"/>
    <w:rsid w:val="008962BE"/>
    <w:rsid w:val="008D21E8"/>
    <w:rsid w:val="00907D48"/>
    <w:rsid w:val="00945DA7"/>
    <w:rsid w:val="009C4E4A"/>
    <w:rsid w:val="00A047A2"/>
    <w:rsid w:val="00A10D51"/>
    <w:rsid w:val="00A41505"/>
    <w:rsid w:val="00A51719"/>
    <w:rsid w:val="00A53B65"/>
    <w:rsid w:val="00AA7E65"/>
    <w:rsid w:val="00AD43D4"/>
    <w:rsid w:val="00B45498"/>
    <w:rsid w:val="00B774F5"/>
    <w:rsid w:val="00BA5DB7"/>
    <w:rsid w:val="00BC5B34"/>
    <w:rsid w:val="00BC6FEC"/>
    <w:rsid w:val="00BC743D"/>
    <w:rsid w:val="00BD3A55"/>
    <w:rsid w:val="00C63712"/>
    <w:rsid w:val="00C84305"/>
    <w:rsid w:val="00D17468"/>
    <w:rsid w:val="00D236E0"/>
    <w:rsid w:val="00D57254"/>
    <w:rsid w:val="00D97D76"/>
    <w:rsid w:val="00DB7E11"/>
    <w:rsid w:val="00DE363D"/>
    <w:rsid w:val="00E40928"/>
    <w:rsid w:val="00E5049D"/>
    <w:rsid w:val="00E675B6"/>
    <w:rsid w:val="00E70E2E"/>
    <w:rsid w:val="00E77190"/>
    <w:rsid w:val="00EC2585"/>
    <w:rsid w:val="00EC489A"/>
    <w:rsid w:val="00ED3B05"/>
    <w:rsid w:val="00EE0FA7"/>
    <w:rsid w:val="00EE2E13"/>
    <w:rsid w:val="00F62BA0"/>
    <w:rsid w:val="00F67BB8"/>
    <w:rsid w:val="00F73FDD"/>
    <w:rsid w:val="00FA7D23"/>
    <w:rsid w:val="00FC6B63"/>
    <w:rsid w:val="02D794C2"/>
    <w:rsid w:val="0CEF9E2D"/>
    <w:rsid w:val="0FC09040"/>
    <w:rsid w:val="155BBB4E"/>
    <w:rsid w:val="228F326A"/>
    <w:rsid w:val="250D2841"/>
    <w:rsid w:val="33CA70C7"/>
    <w:rsid w:val="42CD47FB"/>
    <w:rsid w:val="48288B05"/>
    <w:rsid w:val="525BB77D"/>
    <w:rsid w:val="7B5397AD"/>
    <w:rsid w:val="7B7CBF9C"/>
    <w:rsid w:val="7D9C6F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15A8"/>
  <w15:docId w15:val="{9166A611-DA5C-4621-B892-6247D51B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FA7"/>
    <w:pPr>
      <w:spacing w:after="0" w:line="240" w:lineRule="auto"/>
      <w:ind w:left="720"/>
    </w:pPr>
    <w:rPr>
      <w:rFonts w:ascii="Calibri" w:eastAsia="Times New Roman" w:hAnsi="Calibri" w:cs="Calibri"/>
      <w:lang w:eastAsia="en-IN"/>
    </w:rPr>
  </w:style>
  <w:style w:type="paragraph" w:styleId="Header">
    <w:name w:val="header"/>
    <w:basedOn w:val="Normal"/>
    <w:link w:val="HeaderChar"/>
    <w:uiPriority w:val="99"/>
    <w:unhideWhenUsed/>
    <w:rsid w:val="00FC6B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B63"/>
  </w:style>
  <w:style w:type="paragraph" w:styleId="Footer">
    <w:name w:val="footer"/>
    <w:basedOn w:val="Normal"/>
    <w:link w:val="FooterChar"/>
    <w:uiPriority w:val="99"/>
    <w:unhideWhenUsed/>
    <w:rsid w:val="00FC6B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B63"/>
  </w:style>
  <w:style w:type="paragraph" w:styleId="BodyText">
    <w:name w:val="Body Text"/>
    <w:basedOn w:val="Normal"/>
    <w:link w:val="BodyTextChar"/>
    <w:semiHidden/>
    <w:unhideWhenUsed/>
    <w:rsid w:val="00B45498"/>
    <w:pPr>
      <w:widowControl w:val="0"/>
      <w:spacing w:after="283" w:line="240" w:lineRule="auto"/>
    </w:pPr>
    <w:rPr>
      <w:rFonts w:ascii="Liberation Serif" w:eastAsia="DejaVu Sans" w:hAnsi="Liberation Serif" w:cs="DejaVu Sans"/>
      <w:sz w:val="24"/>
      <w:szCs w:val="24"/>
      <w:lang w:val="en-US" w:eastAsia="zh-CN" w:bidi="hi-IN"/>
    </w:rPr>
  </w:style>
  <w:style w:type="character" w:customStyle="1" w:styleId="BodyTextChar">
    <w:name w:val="Body Text Char"/>
    <w:basedOn w:val="DefaultParagraphFont"/>
    <w:link w:val="BodyText"/>
    <w:semiHidden/>
    <w:rsid w:val="00B45498"/>
    <w:rPr>
      <w:rFonts w:ascii="Liberation Serif" w:eastAsia="DejaVu Sans" w:hAnsi="Liberation Serif" w:cs="DejaVu Sans"/>
      <w:sz w:val="24"/>
      <w:szCs w:val="24"/>
      <w:lang w:val="en-US" w:eastAsia="zh-CN" w:bidi="hi-IN"/>
    </w:rPr>
  </w:style>
  <w:style w:type="character" w:styleId="Hyperlink">
    <w:name w:val="Hyperlink"/>
    <w:basedOn w:val="DefaultParagraphFont"/>
    <w:uiPriority w:val="99"/>
    <w:unhideWhenUsed/>
    <w:rsid w:val="00BD3A55"/>
    <w:rPr>
      <w:color w:val="0000FF" w:themeColor="hyperlink"/>
      <w:u w:val="single"/>
    </w:rPr>
  </w:style>
  <w:style w:type="character" w:styleId="UnresolvedMention">
    <w:name w:val="Unresolved Mention"/>
    <w:basedOn w:val="DefaultParagraphFont"/>
    <w:uiPriority w:val="99"/>
    <w:semiHidden/>
    <w:unhideWhenUsed/>
    <w:rsid w:val="00BD3A55"/>
    <w:rPr>
      <w:color w:val="605E5C"/>
      <w:shd w:val="clear" w:color="auto" w:fill="E1DFDD"/>
    </w:rPr>
  </w:style>
  <w:style w:type="character" w:styleId="FollowedHyperlink">
    <w:name w:val="FollowedHyperlink"/>
    <w:basedOn w:val="DefaultParagraphFont"/>
    <w:uiPriority w:val="99"/>
    <w:semiHidden/>
    <w:unhideWhenUsed/>
    <w:rsid w:val="00BD3A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33081">
      <w:bodyDiv w:val="1"/>
      <w:marLeft w:val="0"/>
      <w:marRight w:val="0"/>
      <w:marTop w:val="0"/>
      <w:marBottom w:val="0"/>
      <w:divBdr>
        <w:top w:val="none" w:sz="0" w:space="0" w:color="auto"/>
        <w:left w:val="none" w:sz="0" w:space="0" w:color="auto"/>
        <w:bottom w:val="none" w:sz="0" w:space="0" w:color="auto"/>
        <w:right w:val="none" w:sz="0" w:space="0" w:color="auto"/>
      </w:divBdr>
    </w:div>
    <w:div w:id="726875783">
      <w:bodyDiv w:val="1"/>
      <w:marLeft w:val="0"/>
      <w:marRight w:val="0"/>
      <w:marTop w:val="0"/>
      <w:marBottom w:val="0"/>
      <w:divBdr>
        <w:top w:val="none" w:sz="0" w:space="0" w:color="auto"/>
        <w:left w:val="none" w:sz="0" w:space="0" w:color="auto"/>
        <w:bottom w:val="none" w:sz="0" w:space="0" w:color="auto"/>
        <w:right w:val="none" w:sz="0" w:space="0" w:color="auto"/>
      </w:divBdr>
    </w:div>
    <w:div w:id="1691177638">
      <w:bodyDiv w:val="1"/>
      <w:marLeft w:val="0"/>
      <w:marRight w:val="0"/>
      <w:marTop w:val="0"/>
      <w:marBottom w:val="0"/>
      <w:divBdr>
        <w:top w:val="none" w:sz="0" w:space="0" w:color="auto"/>
        <w:left w:val="none" w:sz="0" w:space="0" w:color="auto"/>
        <w:bottom w:val="none" w:sz="0" w:space="0" w:color="auto"/>
        <w:right w:val="none" w:sz="0" w:space="0" w:color="auto"/>
      </w:divBdr>
    </w:div>
    <w:div w:id="205345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dfcbank.com/personal/borrow/popular-loans/easy-emi/easyemi-on-consumer-durabl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BAA5B-04E3-4989-B20C-3F08496C7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Ashwin Narasimhan</dc:creator>
  <cp:lastModifiedBy>Aarosh Shukla</cp:lastModifiedBy>
  <cp:revision>2</cp:revision>
  <dcterms:created xsi:type="dcterms:W3CDTF">2025-09-16T04:16:00Z</dcterms:created>
  <dcterms:modified xsi:type="dcterms:W3CDTF">2025-09-16T04:16:00Z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#0000ff,11,Calibri</vt:lpwstr>
  </property>
  <property fmtid="{D5CDD505-2E9C-101B-9397-08002B2CF9AE}" pid="4" name="ClassificationContentMarkingHeaderText">
    <vt:lpwstr>Classification - Internal</vt:lpwstr>
  </property>
  <property fmtid="{D5CDD505-2E9C-101B-9397-08002B2CF9AE}" pid="5" name="ClassificationContentMarkingFooterShapeIds">
    <vt:lpwstr>4,5,6</vt:lpwstr>
  </property>
  <property fmtid="{D5CDD505-2E9C-101B-9397-08002B2CF9AE}" pid="6" name="ClassificationContentMarkingFooterFontProps">
    <vt:lpwstr>#0000ff,11,Calibri</vt:lpwstr>
  </property>
  <property fmtid="{D5CDD505-2E9C-101B-9397-08002B2CF9AE}" pid="7" name="ClassificationContentMarkingFooterText">
    <vt:lpwstr>Classification - Internal</vt:lpwstr>
  </property>
  <property fmtid="{D5CDD505-2E9C-101B-9397-08002B2CF9AE}" pid="8" name="MSIP_Label_e3ba8fb0-bbb8-454c-aa98-661329b3f27f_Enabled">
    <vt:lpwstr>true</vt:lpwstr>
  </property>
  <property fmtid="{D5CDD505-2E9C-101B-9397-08002B2CF9AE}" pid="9" name="MSIP_Label_e3ba8fb0-bbb8-454c-aa98-661329b3f27f_SetDate">
    <vt:lpwstr>2022-06-30T09:43:36Z</vt:lpwstr>
  </property>
  <property fmtid="{D5CDD505-2E9C-101B-9397-08002B2CF9AE}" pid="10" name="MSIP_Label_e3ba8fb0-bbb8-454c-aa98-661329b3f27f_Method">
    <vt:lpwstr>Privileged</vt:lpwstr>
  </property>
  <property fmtid="{D5CDD505-2E9C-101B-9397-08002B2CF9AE}" pid="11" name="MSIP_Label_e3ba8fb0-bbb8-454c-aa98-661329b3f27f_Name">
    <vt:lpwstr>Internal (General)!</vt:lpwstr>
  </property>
  <property fmtid="{D5CDD505-2E9C-101B-9397-08002B2CF9AE}" pid="12" name="MSIP_Label_e3ba8fb0-bbb8-454c-aa98-661329b3f27f_SiteId">
    <vt:lpwstr>827fd022-05a6-4e57-be9c-cc069b6ae62d</vt:lpwstr>
  </property>
  <property fmtid="{D5CDD505-2E9C-101B-9397-08002B2CF9AE}" pid="13" name="MSIP_Label_e3ba8fb0-bbb8-454c-aa98-661329b3f27f_ActionId">
    <vt:lpwstr>3db0cdec-7e82-4ebb-b14e-d1ff82c91846</vt:lpwstr>
  </property>
  <property fmtid="{D5CDD505-2E9C-101B-9397-08002B2CF9AE}" pid="14" name="MSIP_Label_e3ba8fb0-bbb8-454c-aa98-661329b3f27f_ContentBits">
    <vt:lpwstr>3</vt:lpwstr>
  </property>
</Properties>
</file>